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14" w:rsidRPr="00BD0D67" w:rsidRDefault="00552C14" w:rsidP="00552C14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Приложение № 2</w:t>
      </w:r>
    </w:p>
    <w:p w:rsidR="00552C14" w:rsidRPr="00BD0D67" w:rsidRDefault="00552C14" w:rsidP="00552C14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к приказу АО «Газпром газораспределение</w:t>
      </w:r>
    </w:p>
    <w:p w:rsidR="00552C14" w:rsidRPr="00BD0D67" w:rsidRDefault="00552C14" w:rsidP="00552C14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Великий Новгород»</w:t>
      </w:r>
    </w:p>
    <w:p w:rsidR="00552C14" w:rsidRPr="00BD0D67" w:rsidRDefault="00552C14" w:rsidP="00552C14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от ___.___.2018 № ________</w:t>
      </w: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552C14" w:rsidRPr="00BD0D67" w:rsidRDefault="00552C14" w:rsidP="00552C14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552C14" w:rsidRPr="00BD0D67" w:rsidRDefault="00552C14" w:rsidP="00552C14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внутриквартирного газового оборудования в многоквартирном </w:t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доме</w:t>
      </w:r>
      <w:proofErr w:type="gramEnd"/>
      <w:r w:rsidRPr="00BD0D67">
        <w:rPr>
          <w:rFonts w:ascii="Times New Roman" w:hAnsi="Times New Roman"/>
          <w:b/>
          <w:sz w:val="24"/>
          <w:szCs w:val="24"/>
        </w:rPr>
        <w:t xml:space="preserve"> </w:t>
      </w: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г. Великий Новгород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 </w:t>
      </w:r>
      <w:r w:rsidRPr="00BD0D67">
        <w:rPr>
          <w:rFonts w:ascii="Times New Roman" w:hAnsi="Times New Roman"/>
          <w:sz w:val="24"/>
          <w:szCs w:val="24"/>
        </w:rPr>
        <w:tab/>
        <w:t xml:space="preserve">«__»__________20   г.  </w:t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BD0D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____________________________________________________________ с одной стороны,  и  </w:t>
      </w:r>
      <w:proofErr w:type="gramEnd"/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_______________________________________________ -  собственник (пользователь) квартиры (либо уполномоченное лицо, действующее на основании ___________________), </w:t>
      </w: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именуемый в </w:t>
      </w:r>
      <w:proofErr w:type="gramStart"/>
      <w:r w:rsidRPr="00BD0D67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«Заказчик», с другой стороны,   при совместном упоминании именуемые «Стороны», заключили настоящий Договор о нижеследующем.</w:t>
      </w: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52C14" w:rsidRPr="00BD0D67" w:rsidRDefault="00552C14" w:rsidP="00552C14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Заказчик поручает, а Исполнитель обязуется выполнить работы и оказать услуги  по ремонту и техническому обслуживанию внутриквартирного  газового  оборудования Заказчика (далее – ВКГО), указанного в пункте 1.3. настоящего Договора, расположенного по адресу: ___________________________________________, а Заказчик обязуется  принять и оплатить на условиях настоящего Договора выполненные Исполнителем работы и оказанные услуги.</w:t>
      </w:r>
      <w:proofErr w:type="gramEnd"/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Право собственности (пользования) Заказчика на помещение, в котором </w:t>
      </w:r>
      <w:proofErr w:type="gramStart"/>
      <w:r w:rsidRPr="00BD0D67">
        <w:rPr>
          <w:rFonts w:ascii="Times New Roman" w:hAnsi="Times New Roman"/>
          <w:sz w:val="24"/>
          <w:szCs w:val="24"/>
        </w:rPr>
        <w:t>находится ВКГО подтверждается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следующими документами:____________________________________.</w:t>
      </w:r>
    </w:p>
    <w:p w:rsidR="00552C14" w:rsidRPr="00BD0D67" w:rsidRDefault="00552C14" w:rsidP="00552C1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договор, решение суда, ордер и пр.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1.2. Техническое обслуживание и ремонт ВДГО МКД осуществляются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 с целью поддержания его в технически исправном состоянии, соответствующем предъявленным к нему нормативным требованиям. </w:t>
      </w:r>
    </w:p>
    <w:p w:rsidR="00552C14" w:rsidRPr="00BD0D67" w:rsidRDefault="00552C14" w:rsidP="00552C14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 xml:space="preserve">Термины и определения, указанные в договоре, подлежат толкованию согласно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</w:t>
      </w:r>
      <w:proofErr w:type="gramEnd"/>
    </w:p>
    <w:tbl>
      <w:tblPr>
        <w:tblW w:w="10002" w:type="dxa"/>
        <w:tblLayout w:type="fixed"/>
        <w:tblLook w:val="00A0" w:firstRow="1" w:lastRow="0" w:firstColumn="1" w:lastColumn="0" w:noHBand="0" w:noVBand="0"/>
      </w:tblPr>
      <w:tblGrid>
        <w:gridCol w:w="8"/>
        <w:gridCol w:w="526"/>
        <w:gridCol w:w="9282"/>
        <w:gridCol w:w="186"/>
      </w:tblGrid>
      <w:tr w:rsidR="00552C14" w:rsidRPr="00BD0D67" w:rsidTr="008C61A0">
        <w:trPr>
          <w:trHeight w:val="42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C14" w:rsidRPr="00BD0D67" w:rsidRDefault="00552C14" w:rsidP="008C61A0">
            <w:pPr>
              <w:ind w:right="14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1.3. Количество, тип газоиспользующего оборудования, перечень выполняемых работ и оказываемых услуг по техническому обслуживанию и ремонту ВКГО, определенный с учетом минимального перечня выполняемых работ (оказываемых услуг), предусмотренного </w:t>
            </w:r>
            <w:r w:rsidRPr="00BD0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пользования газом:</w:t>
            </w: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2553"/>
              <w:gridCol w:w="992"/>
              <w:gridCol w:w="851"/>
              <w:gridCol w:w="1984"/>
              <w:gridCol w:w="1418"/>
              <w:gridCol w:w="1275"/>
            </w:tblGrid>
            <w:tr w:rsidR="00552C14" w:rsidRPr="00BD0D67" w:rsidTr="008C61A0">
              <w:trPr>
                <w:trHeight w:val="67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b/>
                      <w:sz w:val="20"/>
                      <w:szCs w:val="20"/>
                    </w:rPr>
                  </w:pPr>
                  <w:r w:rsidRPr="00BD0D67">
                    <w:rPr>
                      <w:rStyle w:val="FontStyle18"/>
                      <w:rFonts w:eastAsia="Arial Unicode MS"/>
                      <w:b/>
                      <w:sz w:val="20"/>
                      <w:szCs w:val="20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ind w:firstLine="9"/>
                    <w:jc w:val="center"/>
                    <w:rPr>
                      <w:rStyle w:val="FontStyle21"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sz w:val="20"/>
                      <w:szCs w:val="20"/>
                      <w:lang w:eastAsia="en-US"/>
                    </w:rPr>
                    <w:t>Перечень ВКГО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4"/>
                    <w:widowControl/>
                    <w:spacing w:line="240" w:lineRule="auto"/>
                    <w:jc w:val="center"/>
                    <w:rPr>
                      <w:rStyle w:val="FontStyle21"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sz w:val="20"/>
                      <w:szCs w:val="20"/>
                      <w:lang w:eastAsia="en-US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4"/>
                    <w:widowControl/>
                    <w:spacing w:line="240" w:lineRule="auto"/>
                    <w:jc w:val="center"/>
                    <w:rPr>
                      <w:rStyle w:val="FontStyle17"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a6"/>
                    <w:spacing w:line="276" w:lineRule="auto"/>
                    <w:ind w:left="3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Характеристика ВКГО (модель, дата установки, срок службы)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Тариф за ед. оборудования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552C14" w:rsidRPr="00BD0D67" w:rsidTr="008C61A0">
              <w:trPr>
                <w:trHeight w:val="17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 xml:space="preserve">Бытовая газовая плита </w:t>
                  </w: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lastRenderedPageBreak/>
                    <w:t>ПГ-4</w:t>
                  </w:r>
                </w:p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Бытовая газовая плита ПГ-2</w:t>
                  </w:r>
                </w:p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Бытовая газовая плита ПГ-3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sz w:val="22"/>
                      <w:szCs w:val="22"/>
                      <w:lang w:eastAsia="en-US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17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23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1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Газовая поверхность (варочная панель)</w:t>
                  </w:r>
                </w:p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Газовый духовой шкаф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19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1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Газовый водогрейный котел</w:t>
                  </w:r>
                </w:p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Проточный водонагреватель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19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2C14" w:rsidRPr="00BD0D67" w:rsidRDefault="00552C14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Газопровод, гибкий рукав (диаметр, тип)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52C14" w:rsidRPr="00BD0D67" w:rsidTr="008C61A0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Комплекс газоиспользующего оборудования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C14" w:rsidRPr="00BD0D67" w:rsidRDefault="00552C14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</w:tr>
          </w:tbl>
          <w:p w:rsidR="00552C14" w:rsidRPr="00BD0D67" w:rsidRDefault="00552C14" w:rsidP="008C61A0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Повышающий коэффициент на переезды____________________________</w:t>
            </w:r>
          </w:p>
        </w:tc>
      </w:tr>
      <w:tr w:rsidR="00552C14" w:rsidRPr="00BD0D67" w:rsidTr="008C61A0">
        <w:trPr>
          <w:trHeight w:val="1274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C14" w:rsidRPr="00BD0D67" w:rsidRDefault="00552C14" w:rsidP="008C61A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Техническое обслуживание ВКГО осуществляется 1 раз в год.</w:t>
            </w:r>
          </w:p>
          <w:p w:rsidR="00552C14" w:rsidRPr="00BD0D67" w:rsidRDefault="00552C14" w:rsidP="008C61A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Сроки проведения планового технического обслуживания на следующий календарный год устанавливаются годовым графиком Исполнителя и доводятся до сведения Заказчика  в 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, определенном договором, в конце предыдущего календарного года.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a6"/>
              <w:ind w:hanging="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a6"/>
              <w:ind w:hanging="3"/>
              <w:jc w:val="left"/>
              <w:rPr>
                <w:rFonts w:ascii="Times New Roman" w:hAnsi="Times New Roman" w:cs="Times New Roman"/>
                <w:b/>
              </w:rPr>
            </w:pPr>
            <w:r w:rsidRPr="00BD0D67">
              <w:rPr>
                <w:rStyle w:val="FontStyle21"/>
                <w:b w:val="0"/>
              </w:rPr>
              <w:t>Перечень работ по техническому обслуживанию ВКГО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Визуальная проверка целостности и соответствия нормативным требованиям (осмотр) газового оборудования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Визуальная проверка наличия свободного доступа (осмотр) к газовому оборудованию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Визуальная проверка состояния окраски и креплений газопровода (осмотр)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BD0D67">
              <w:rPr>
                <w:sz w:val="22"/>
                <w:szCs w:val="22"/>
              </w:rPr>
              <w:t>обмыливание</w:t>
            </w:r>
            <w:proofErr w:type="spellEnd"/>
            <w:r w:rsidRPr="00BD0D67">
              <w:rPr>
                <w:sz w:val="22"/>
                <w:szCs w:val="22"/>
              </w:rPr>
              <w:t>)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5.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Проверка работоспособности и смазка отключающих устройств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6.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Разборка и смазка кранов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FORMATTEXT"/>
              <w:ind w:hanging="3"/>
              <w:rPr>
                <w:rStyle w:val="FontStyle18"/>
                <w:sz w:val="22"/>
                <w:szCs w:val="22"/>
              </w:rPr>
            </w:pPr>
            <w:r w:rsidRPr="00BD0D67">
              <w:rPr>
                <w:sz w:val="22"/>
                <w:szCs w:val="22"/>
              </w:rPr>
              <w:t xml:space="preserve">Проверка наличия тяги в дымовых и вентиляционных </w:t>
            </w:r>
            <w:proofErr w:type="gramStart"/>
            <w:r w:rsidRPr="00BD0D67">
              <w:rPr>
                <w:sz w:val="22"/>
                <w:szCs w:val="22"/>
              </w:rPr>
              <w:t>каналах</w:t>
            </w:r>
            <w:proofErr w:type="gramEnd"/>
            <w:r w:rsidRPr="00BD0D67">
              <w:rPr>
                <w:sz w:val="22"/>
                <w:szCs w:val="22"/>
              </w:rPr>
              <w:t>, состояния соединительных труб с дымовым каналом</w:t>
            </w:r>
          </w:p>
        </w:tc>
      </w:tr>
      <w:tr w:rsidR="00552C14" w:rsidRPr="00BD0D67" w:rsidTr="008C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86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pStyle w:val="Style10"/>
              <w:widowControl/>
              <w:spacing w:line="240" w:lineRule="auto"/>
              <w:ind w:hanging="8"/>
              <w:rPr>
                <w:rStyle w:val="FontStyle21"/>
                <w:sz w:val="22"/>
                <w:szCs w:val="22"/>
              </w:rPr>
            </w:pPr>
            <w:r w:rsidRPr="00BD0D67">
              <w:rPr>
                <w:rStyle w:val="FontStyle21"/>
                <w:sz w:val="22"/>
                <w:szCs w:val="22"/>
              </w:rPr>
              <w:t>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4" w:rsidRPr="00BD0D67" w:rsidRDefault="00552C14" w:rsidP="008C61A0">
            <w:pPr>
              <w:shd w:val="clear" w:color="auto" w:fill="FFFFFF"/>
              <w:ind w:hanging="3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D0D67">
              <w:rPr>
                <w:rFonts w:ascii="Times New Roman" w:hAnsi="Times New Roman"/>
                <w:sz w:val="22"/>
                <w:szCs w:val="22"/>
              </w:rPr>
              <w:t>Инструктаж и передача инструкции потребителю  по безопасному использованию газа.</w:t>
            </w:r>
            <w:r w:rsidRPr="00BD0D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552C14" w:rsidRPr="00BD0D67" w:rsidRDefault="00552C14" w:rsidP="008C61A0">
            <w:pPr>
              <w:shd w:val="clear" w:color="auto" w:fill="FFFFFF"/>
              <w:ind w:hanging="3"/>
              <w:rPr>
                <w:rStyle w:val="FontStyle18"/>
                <w:b/>
                <w:sz w:val="22"/>
                <w:szCs w:val="22"/>
                <w:u w:val="single"/>
              </w:rPr>
            </w:pPr>
            <w:r w:rsidRPr="00BD0D67">
              <w:rPr>
                <w:rFonts w:ascii="Times New Roman" w:hAnsi="Times New Roman"/>
                <w:b/>
                <w:sz w:val="22"/>
                <w:szCs w:val="22"/>
              </w:rPr>
              <w:t>Полный текст Инструкции см. по ссылке</w:t>
            </w:r>
            <w:r w:rsidRPr="00BD0D6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6" w:history="1">
              <w:r w:rsidRPr="00BD0D67">
                <w:rPr>
                  <w:rStyle w:val="a5"/>
                  <w:sz w:val="22"/>
                  <w:szCs w:val="22"/>
                </w:rPr>
                <w:t>http://www.novoblgaz.ru/Окомпании/</w:t>
              </w:r>
            </w:hyperlink>
            <w:r w:rsidRPr="00BD0D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BD0D67">
                <w:rPr>
                  <w:rStyle w:val="a5"/>
                  <w:sz w:val="22"/>
                  <w:szCs w:val="22"/>
                  <w:shd w:val="clear" w:color="auto" w:fill="FFFFFF"/>
                </w:rPr>
                <w:t>Эксплуатация газопроводов и газового оборудования</w:t>
              </w:r>
            </w:hyperlink>
            <w:r w:rsidRPr="00BD0D67">
              <w:rPr>
                <w:rFonts w:ascii="Times New Roman" w:hAnsi="Times New Roman"/>
                <w:sz w:val="22"/>
                <w:szCs w:val="22"/>
              </w:rPr>
              <w:t>/</w:t>
            </w:r>
            <w:hyperlink r:id="rId8" w:history="1">
              <w:r w:rsidRPr="00BD0D67">
                <w:rPr>
                  <w:rStyle w:val="a5"/>
                  <w:sz w:val="22"/>
                  <w:szCs w:val="22"/>
                </w:rPr>
                <w:t>Инструкция по безопасному использованию газа для удовлетворения коммунально-бытовых нужд</w:t>
              </w:r>
            </w:hyperlink>
          </w:p>
        </w:tc>
      </w:tr>
    </w:tbl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1.4. Аварийно-диспетчерское обеспечение, в том числе,  устранение утечек газа и локализация аварий, осуществляется Исполнителем круглосуточно  незамедлительно по поступлении информации об аварии  ил</w:t>
      </w:r>
      <w:proofErr w:type="gramStart"/>
      <w:r w:rsidRPr="00BD0D67">
        <w:rPr>
          <w:rFonts w:ascii="Times New Roman" w:hAnsi="Times New Roman"/>
          <w:sz w:val="24"/>
          <w:szCs w:val="24"/>
        </w:rPr>
        <w:t>и о ее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заявки по телефону аварийно-диспетчерской службы: 04 (сотовый 104), в </w:t>
      </w:r>
      <w:proofErr w:type="gramStart"/>
      <w:r w:rsidRPr="00BD0D6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объектов Заказчика, указанных в Договоре.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1.5. Работы по ремонту и замене оборудования, входящего в состав ВКГО, производятся на основании заявок Заказчика по ценам, установленным Исполнителем и действующим на дату поступления заявки от Заказчика. Заявка Заказчика на проведение работ по ремонту ВКГО и замене оборудования, входящего в  его состав, подается по телефону  № ___________, в электронной форме по адресу: (указать) или письменной </w:t>
      </w:r>
      <w:r w:rsidRPr="00BD0D67">
        <w:rPr>
          <w:rFonts w:ascii="Times New Roman" w:hAnsi="Times New Roman"/>
          <w:sz w:val="24"/>
          <w:szCs w:val="24"/>
        </w:rPr>
        <w:lastRenderedPageBreak/>
        <w:t>форме в диспетчерскую службу Исполнителя, по реквизитам, указанным в разделе 9 настоящего Договора. Самостоятельная замена ВКГО Заказчиком не допускается.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1.6. На ВКГО Заказчика установлен прибор учета газа___________________________________________ </w:t>
      </w:r>
      <w:r w:rsidRPr="00BD0D67">
        <w:rPr>
          <w:rFonts w:ascii="Times New Roman" w:hAnsi="Times New Roman"/>
          <w:i/>
          <w:sz w:val="24"/>
          <w:szCs w:val="24"/>
        </w:rPr>
        <w:t xml:space="preserve">(указывается  при наличии тип  прибора).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1.7. В случае отсутствия у Заказчика документов, подтверждающих соответствие  ВКГО  нормативным техническим требованиям (технические паспорта, сертификаты соответствия и др.), нормативный срок службы газового оборудования определяется в соответствии с  Законом РФ от 07.02.1992 № 2300-1 «О защите прав потребителей».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2. </w:t>
      </w:r>
      <w:r w:rsidRPr="00BD0D67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2.1.1. Своевременно и качественно выполнять работы и оказывать  услуги  по техническому обслуживанию и ремонту ВКГО 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условиями настоящего Договора. 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ВКГО,  на основании заявок Заказчика на платной основе.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2.1.3. Незамедлительно осуществить приостановление подачи газа без предварительного уведомления Заказчика в </w:t>
      </w:r>
      <w:proofErr w:type="gramStart"/>
      <w:r w:rsidRPr="00BD0D67">
        <w:rPr>
          <w:rFonts w:ascii="Times New Roman" w:hAnsi="Times New Roman"/>
          <w:sz w:val="24"/>
          <w:szCs w:val="24"/>
        </w:rPr>
        <w:t>случае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 или ВКГО.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2.2.1. Требовать от Заказчика неукоснительного соблюдения условий настоящего Договора.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2.2.2. Посещать жилое помещение Заказчика, где установлено ВКГО, при проведении работ  и оказании услуг  по техническому обслуживанию и ремонту ВКГО, с соблюдением порядка уведомления Заказчика, предусмотренного пунктом 5.2 Договора.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2.2.3. Приостановить подачу газа Заказчику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 при наличии условий, предусмотренных  действующим законодательством.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3.ПРАВА И ОБЯЗАННОСТИ ЗАКАЗЧИКА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3.1.1. Оплачивать работы (услуги) по техническому обслуживанию ВКГО,  а также работы по ремонту и замене ВКГО  в установленные настоящим Договором сроки и в полном объеме.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3.1.2. Соблюдать требования действующего законодательства в части безопасного пользования газом в быту, в том числе: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BD0D67">
        <w:rPr>
          <w:rFonts w:ascii="Times New Roman" w:hAnsi="Times New Roman"/>
          <w:sz w:val="24"/>
          <w:szCs w:val="24"/>
        </w:rPr>
        <w:t>опуске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 № 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104);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 (не из загазованного помещения). Не зажигать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огня, не курить, не </w:t>
      </w:r>
      <w:proofErr w:type="gramStart"/>
      <w:r w:rsidRPr="00BD0D67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BD0D67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BD0D67">
        <w:rPr>
          <w:rFonts w:ascii="Times New Roman" w:hAnsi="Times New Roman"/>
          <w:sz w:val="24"/>
          <w:szCs w:val="24"/>
        </w:rPr>
        <w:t>;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использовать ВКГО только по прямому назначению;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выполнять  письменные предписания органа жилищного надзора (контроля) об устранении нарушений  и неисправностей  в эксплуатации  ВКГО; 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BD0D67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(самовольной газификации);</w:t>
      </w:r>
    </w:p>
    <w:p w:rsidR="00552C14" w:rsidRPr="00BD0D67" w:rsidRDefault="00552C14" w:rsidP="00552C14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осуществлять без привлечения специализированной организации переустройство (установку, замену, перенос, демонтаж и др.)  внутриквартирного ГО,  ведущее к нарушению безопасной работы этого оборудования.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3.1.3. Допустить Исполнителя  в жилое помещение (квартиру) в указанную в графике дату и время выполнения работ (оказания услуг) по техническому обслуживанию и ремонту ВКГО.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3.1.4. Устранять причины, послужившие основанием для приостановления подачи газа, об устранении причин, послуживших основанием для приостановления подачи газа проинформировать Исполнителя.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0D67">
        <w:rPr>
          <w:rFonts w:ascii="Times New Roman" w:hAnsi="Times New Roman"/>
          <w:sz w:val="24"/>
          <w:szCs w:val="24"/>
        </w:rPr>
        <w:t>3.1.5. Оплатить расходы Исполнителя, понесенные в связи с проведением работ по приостановлению и возобновлению подачи газа.</w:t>
      </w:r>
      <w:r w:rsidRPr="00BD0D6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3.1.6. В случае истечения установленного изготовителем срока службы газового оборудования заключить договор о техническом диагностировании ВКГО с организацией, отвечающей требованиям, определяемым Правилами пользования газом.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3.1.7. Сообщить Исполнителю в течение трех рабочих дней  о прекращении права собственности на квартиру, права пользования квартирой, смене контактного  телефона, изменения количества и типов газоиспользующего оборудования, а также об иных  обстоятельствах, влекущих за собой изменение условий  настоящего Договора или его расторжение.</w:t>
      </w:r>
    </w:p>
    <w:p w:rsidR="00552C14" w:rsidRPr="00BD0D67" w:rsidRDefault="00552C14" w:rsidP="00552C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3.1.8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D0D67">
        <w:rPr>
          <w:rFonts w:ascii="Times New Roman" w:hAnsi="Times New Roman"/>
          <w:sz w:val="24"/>
          <w:szCs w:val="24"/>
        </w:rPr>
        <w:t>ообщать Исполнителю об изменении электронного адреса, телефонного номера, указанных в п.5.2., 8.1 Договора.</w:t>
      </w:r>
    </w:p>
    <w:p w:rsidR="00552C14" w:rsidRPr="00BD0D67" w:rsidRDefault="00552C14" w:rsidP="00552C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3.1.9. Соблюдать требования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«Инструкции по безопасному использованию газа при удовлетворении коммунально-бытовых нужд» (утв. Приказом Министерства Строительства и ЖКХ РФ от 05.12.2017 г. № 1614/</w:t>
      </w:r>
      <w:proofErr w:type="spellStart"/>
      <w:proofErr w:type="gramStart"/>
      <w:r w:rsidRPr="00BD0D67">
        <w:rPr>
          <w:rFonts w:ascii="Times New Roman" w:eastAsia="Calibr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BD0D67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3.2.1. На  своевременное и качественное выполнение работ и оказание услуг, предусмотренных  настоящим Договором.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3.2.2. На получение от Исполнителя  полной и достоверной информации о выполняемых работах и оказываемых услугах.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3.2.3. Требовать от Исполнителя внесения изменений в условия настоящего Договора в части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3.2.4. Требовать снижения (перерасчета) платы за неисполнение (ненадлежащее исполнение) обязательств по техническому обслуживанию и ремонту ВКГО.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3.2.5. Требовать возмещения ущерба, причиненного в </w:t>
      </w:r>
      <w:proofErr w:type="gramStart"/>
      <w:r w:rsidRPr="00BD0D6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действия (бездействия) Исполнителя.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lastRenderedPageBreak/>
        <w:t>4. ЦЕНА И ПОРЯДОК РАСЧЕТОВ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4.1. Цена Договора определяется на основании Прейскурантов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(далее – Методические рекомендации) (утв. приказом ФСТ России от 27.12.2013 N 269-э/8).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4.2. На момент заключения договора стоимость выполняемых  Исполнителем работ (оказываемых услуг) по техническому обслуживанию указана в </w:t>
      </w:r>
      <w:proofErr w:type="gramStart"/>
      <w:r w:rsidRPr="00BD0D67">
        <w:rPr>
          <w:rFonts w:ascii="Times New Roman" w:hAnsi="Times New Roman"/>
          <w:sz w:val="24"/>
          <w:szCs w:val="24"/>
        </w:rPr>
        <w:t>пункте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1.3 Договора и не включает в себя стоимость работ по ремонту и замене оборудования.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4.3. Прейскуранты на работы (услуги) по техническому обслуживанию и на  работы по ремонту и замене оборудования, входящего в состав ВКГО в полном объеме размещены Исполнителем на официальном сайте Исполнителя в сети Интернет по адресу: </w:t>
      </w:r>
      <w:hyperlink r:id="rId9" w:history="1">
        <w:r w:rsidRPr="00BD0D67">
          <w:rPr>
            <w:rStyle w:val="a5"/>
            <w:rFonts w:eastAsia="Arial Unicode MS"/>
            <w:sz w:val="24"/>
            <w:szCs w:val="24"/>
            <w:lang w:val="en-US"/>
          </w:rPr>
          <w:t>www</w:t>
        </w:r>
        <w:r w:rsidRPr="00BD0D6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Pr="00BD0D67">
          <w:rPr>
            <w:rStyle w:val="a5"/>
            <w:rFonts w:eastAsia="Arial Unicode MS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Pr="00BD0D67">
          <w:rPr>
            <w:rStyle w:val="a5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BD0D67">
        <w:rPr>
          <w:rFonts w:ascii="Times New Roman" w:hAnsi="Times New Roman"/>
          <w:color w:val="FF0000"/>
          <w:sz w:val="24"/>
          <w:szCs w:val="24"/>
        </w:rPr>
        <w:t>.</w:t>
      </w:r>
      <w:r w:rsidRPr="00BD0D67">
        <w:rPr>
          <w:rFonts w:ascii="Times New Roman" w:hAnsi="Times New Roman"/>
          <w:sz w:val="24"/>
          <w:szCs w:val="24"/>
        </w:rPr>
        <w:t xml:space="preserve"> 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  <w:t xml:space="preserve">При изменении Прейскурантов информация об этом  размещается Исполнителем на официальном сайте Исполнителя в сети Интернет по адресу: </w:t>
      </w:r>
      <w:hyperlink r:id="rId10" w:history="1">
        <w:r w:rsidRPr="00BD0D67">
          <w:rPr>
            <w:rStyle w:val="a5"/>
            <w:rFonts w:eastAsia="Arial Unicode MS"/>
            <w:sz w:val="24"/>
            <w:szCs w:val="24"/>
            <w:lang w:val="en-US"/>
          </w:rPr>
          <w:t>www</w:t>
        </w:r>
        <w:r w:rsidRPr="00BD0D6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Pr="00BD0D67">
          <w:rPr>
            <w:rStyle w:val="a5"/>
            <w:rFonts w:eastAsia="Arial Unicode MS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eastAsia="Arial Unicode MS"/>
            <w:sz w:val="24"/>
            <w:szCs w:val="24"/>
          </w:rPr>
          <w:t>.</w:t>
        </w:r>
        <w:proofErr w:type="spellStart"/>
        <w:r w:rsidRPr="00BD0D67">
          <w:rPr>
            <w:rStyle w:val="a5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путем размещения объявлений на расположенных в местах общего доступа информационных стендах Исполнителя. Данные изменения не являются основанием для подписания дополнительного соглашения к настоящему договору, не </w:t>
      </w:r>
      <w:proofErr w:type="gramStart"/>
      <w:r w:rsidRPr="00BD0D67">
        <w:rPr>
          <w:rFonts w:ascii="Times New Roman" w:hAnsi="Times New Roman"/>
          <w:sz w:val="24"/>
          <w:szCs w:val="24"/>
        </w:rPr>
        <w:t>требуют согласования Заказчика и вступают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силу с момента введения их действие  Исполнителем. 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4.4. Оплата выполненных работ (оказанных услуг)  по техническому обслуживанию производится Заказчиком по ценам Исполнителя, действующим на момент выполнения работ 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 или иным любым удобным способом, не запрещенным действующим законодательством.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4.5. Оплата работ по ремонту ВКГО, а также замены оборудования, входящего в состав ВКГО, осуществляется Заказчиком отдельно по ценам, определенным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 Оплата работ по ремонту ВКГО,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</w:t>
      </w:r>
      <w:r w:rsidRPr="00BD0D67">
        <w:rPr>
          <w:rFonts w:ascii="Times New Roman" w:hAnsi="Times New Roman"/>
          <w:b/>
          <w:sz w:val="24"/>
          <w:szCs w:val="24"/>
        </w:rPr>
        <w:t>в день оказания работ (услуг) после выполнения работ.</w:t>
      </w:r>
      <w:r w:rsidRPr="00BD0D67">
        <w:rPr>
          <w:rFonts w:ascii="Times New Roman" w:hAnsi="Times New Roman"/>
          <w:sz w:val="24"/>
          <w:szCs w:val="24"/>
        </w:rPr>
        <w:t xml:space="preserve"> 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552C14" w:rsidRPr="00BD0D67" w:rsidRDefault="00552C14" w:rsidP="00552C14">
      <w:pPr>
        <w:tabs>
          <w:tab w:val="left" w:pos="426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52C14" w:rsidRPr="00BD0D67" w:rsidRDefault="00552C14" w:rsidP="00552C1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5. ПОРЯДОК И СРОКИ ВЫПОЛНЕНИЯ РАБОТ (ОКАЗАНИЯ УСЛУГ)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ВКГО производятся Исполнителем в его рабочие дни.</w:t>
      </w:r>
    </w:p>
    <w:p w:rsidR="00552C14" w:rsidRPr="00BD0D67" w:rsidRDefault="00552C14" w:rsidP="00552C1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Конкретные дата и время выполнения работ по техническому обслуживанию ВКГО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11" w:history="1">
        <w:r w:rsidRPr="00BD0D67">
          <w:rPr>
            <w:rStyle w:val="a5"/>
            <w:sz w:val="24"/>
            <w:szCs w:val="24"/>
            <w:lang w:val="en-US"/>
          </w:rPr>
          <w:t>www</w:t>
        </w:r>
        <w:r w:rsidRPr="00BD0D67">
          <w:rPr>
            <w:rStyle w:val="a5"/>
            <w:sz w:val="24"/>
            <w:szCs w:val="24"/>
          </w:rPr>
          <w:t>.</w:t>
        </w:r>
        <w:proofErr w:type="spellStart"/>
        <w:r w:rsidRPr="00BD0D67">
          <w:rPr>
            <w:rStyle w:val="a5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sz w:val="24"/>
            <w:szCs w:val="24"/>
          </w:rPr>
          <w:t>.</w:t>
        </w:r>
        <w:proofErr w:type="spellStart"/>
        <w:r w:rsidRPr="00BD0D6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5.4. Работы по ремонту ВКГО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552C14" w:rsidRPr="00BD0D67" w:rsidRDefault="00552C14" w:rsidP="00552C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5.5. </w:t>
      </w:r>
      <w:proofErr w:type="gramStart"/>
      <w:r w:rsidRPr="00BD0D67">
        <w:rPr>
          <w:rFonts w:ascii="Times New Roman" w:hAnsi="Times New Roman"/>
          <w:sz w:val="24"/>
          <w:szCs w:val="24"/>
        </w:rPr>
        <w:t>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Заказчиком, либо лицом, уполномоченным Заказчиком.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Право подписи Акта со стороны Заказчика имеют: собственник жилого помещения (квартиры), совершеннолетние члены его семьи, арендаторы (квартиросъемщики) жилого помещения либо лицо, осуществившее допуск Исполнителя к ВКГО для выполнения работ (оказания услуг) в соответствии с условиями настоящего договора.</w:t>
      </w:r>
    </w:p>
    <w:p w:rsidR="00552C14" w:rsidRPr="00BD0D67" w:rsidRDefault="00552C14" w:rsidP="00552C1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</w:t>
      </w:r>
      <w:proofErr w:type="gramStart"/>
      <w:r w:rsidRPr="00BD0D67">
        <w:rPr>
          <w:rFonts w:ascii="Times New Roman" w:hAnsi="Times New Roman"/>
          <w:sz w:val="24"/>
          <w:szCs w:val="24"/>
        </w:rPr>
        <w:t>Акте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5.7. </w:t>
      </w:r>
      <w:proofErr w:type="gramStart"/>
      <w:r w:rsidRPr="00BD0D67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BD0D67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</w:t>
      </w:r>
      <w:r w:rsidRPr="00BD0D67">
        <w:rPr>
          <w:rFonts w:ascii="Times New Roman" w:hAnsi="Times New Roman"/>
          <w:b/>
          <w:sz w:val="24"/>
          <w:szCs w:val="24"/>
        </w:rPr>
        <w:t>6</w:t>
      </w:r>
      <w:r w:rsidRPr="00BD0D67">
        <w:rPr>
          <w:rFonts w:ascii="Times New Roman" w:hAnsi="Times New Roman"/>
          <w:sz w:val="24"/>
          <w:szCs w:val="24"/>
        </w:rPr>
        <w:t xml:space="preserve">. </w:t>
      </w:r>
      <w:r w:rsidRPr="00BD0D6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6.2. Исполнитель освобождается от ответственности за нарушение качества выполнения работ (оказания услуг) по техническому обслуживанию и ремонту  ВКГО, если докажет, что такое нарушение произошло вследствие обстоятельств непреодолимой силы или по вине Заказчика.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6.3. 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Заказчику  несвоевременно и (или) в неполном размере внесшему плату по  настоящему Договору  за выполненные работы (оказанные услуги) по техническому обслуживанию и ремонту ВКГО,  Исполнитель имеет право предъявить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</w:t>
      </w:r>
      <w:r w:rsidRPr="00BD0D67">
        <w:rPr>
          <w:rFonts w:ascii="Times New Roman" w:hAnsi="Times New Roman"/>
          <w:sz w:val="24"/>
          <w:szCs w:val="24"/>
        </w:rPr>
        <w:lastRenderedPageBreak/>
        <w:t>просрочки, начиная со следующего дня после наступления установленного срока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6.4. Стороны пришли к соглашению, что споры, возникающие по настоящему договору и (или) в связи с ним, в том числе любые вопросы в отношении существования, 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7.  СРОК ДЕЙСТВИЯ ДОГОВОРА, </w:t>
      </w:r>
    </w:p>
    <w:p w:rsidR="00552C14" w:rsidRPr="00BD0D67" w:rsidRDefault="00552C14" w:rsidP="00552C1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ПОРЯДОК ИЗМЕНЕНИЯ И ПРЕКРАЩЕНИЯ ДОГОВОРА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BD0D67">
        <w:rPr>
          <w:rFonts w:ascii="Times New Roman" w:hAnsi="Times New Roman"/>
          <w:sz w:val="24"/>
          <w:szCs w:val="24"/>
        </w:rPr>
        <w:t>до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_______________.  </w:t>
      </w:r>
      <w:r w:rsidRPr="00BD0D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0D67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BD0D67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7.2</w:t>
      </w:r>
      <w:r w:rsidRPr="00BD0D67">
        <w:rPr>
          <w:rFonts w:ascii="Times New Roman" w:hAnsi="Times New Roman"/>
          <w:i/>
          <w:sz w:val="24"/>
          <w:szCs w:val="24"/>
        </w:rPr>
        <w:t xml:space="preserve">. </w:t>
      </w:r>
      <w:r w:rsidRPr="00BD0D67"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7.2. Все изменения и дополнения, за исключением изменения стоимости работ, действительны в случае, если они </w:t>
      </w:r>
      <w:proofErr w:type="gramStart"/>
      <w:r w:rsidRPr="00BD0D67"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Сторонами.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7.3. 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7.4. Настоящий Договор, может быть, расторгнут сторонами по основаниям и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>, предусмотренном действующим законодательством.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52C14" w:rsidRPr="00BD0D67" w:rsidRDefault="00552C14" w:rsidP="00552C14">
      <w:pPr>
        <w:ind w:firstLine="567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8.1. Стороны предусмотрели настоящим договором </w:t>
      </w:r>
      <w:r w:rsidRPr="00BD0D67">
        <w:rPr>
          <w:rStyle w:val="a7"/>
          <w:rFonts w:ascii="Times New Roman" w:hAnsi="Times New Roman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данных: _______________.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Style w:val="a7"/>
          <w:rFonts w:ascii="Times New Roman" w:hAnsi="Times New Roman"/>
          <w:sz w:val="24"/>
          <w:szCs w:val="24"/>
        </w:rPr>
        <w:t xml:space="preserve">8.2. </w:t>
      </w:r>
      <w:r w:rsidRPr="00BD0D67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8.3.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52C14" w:rsidRPr="00BD0D67" w:rsidRDefault="00552C14" w:rsidP="00552C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8.4. Реквизиты Акта об определении границы раздела собственности на газораспределительные сети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 (_______________)(</w:t>
      </w:r>
      <w:proofErr w:type="gramEnd"/>
      <w:r w:rsidRPr="00BD0D67">
        <w:rPr>
          <w:rFonts w:ascii="Times New Roman" w:hAnsi="Times New Roman"/>
          <w:sz w:val="24"/>
          <w:szCs w:val="24"/>
        </w:rPr>
        <w:t>не имеется).</w:t>
      </w: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552C14" w:rsidRPr="00BD0D67" w:rsidRDefault="00552C14" w:rsidP="00552C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C14" w:rsidRPr="00BD0D67" w:rsidTr="008C61A0">
        <w:tc>
          <w:tcPr>
            <w:tcW w:w="4785" w:type="dxa"/>
            <w:shd w:val="clear" w:color="auto" w:fill="auto"/>
          </w:tcPr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552C14" w:rsidRPr="00BD0D67" w:rsidTr="008C61A0">
        <w:trPr>
          <w:trHeight w:val="2891"/>
        </w:trPr>
        <w:tc>
          <w:tcPr>
            <w:tcW w:w="4785" w:type="dxa"/>
            <w:shd w:val="clear" w:color="auto" w:fill="auto"/>
          </w:tcPr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lastRenderedPageBreak/>
              <w:t>АО «Газпром газораспределение Великий Новгород»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бязательно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документа,  удостоверяющего личность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C14" w:rsidRPr="00BD0D67" w:rsidRDefault="00552C14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552C14" w:rsidRPr="00BD0D67" w:rsidRDefault="00552C14" w:rsidP="00552C14">
      <w:pPr>
        <w:jc w:val="right"/>
        <w:rPr>
          <w:rFonts w:ascii="Times New Roman" w:hAnsi="Times New Roman"/>
          <w:sz w:val="24"/>
          <w:szCs w:val="24"/>
        </w:rPr>
      </w:pPr>
    </w:p>
    <w:p w:rsidR="00552C14" w:rsidRPr="00BD0D67" w:rsidRDefault="00552C14" w:rsidP="00552C14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С действующими прейскурантами на работы (услуги) по техническому обслуживанию и на  работы по ремонту и замене оборудования, входящего в состав ВКГО Заказчик ознакомлен,  возражений о порядке информирования об изменении цен не имеет_____ (подпись, расшифровка).</w:t>
      </w: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552C14" w:rsidRPr="00BD0D67" w:rsidRDefault="00552C14" w:rsidP="00552C14">
      <w:pPr>
        <w:rPr>
          <w:rFonts w:ascii="Times New Roman" w:hAnsi="Times New Roman"/>
          <w:sz w:val="28"/>
          <w:szCs w:val="28"/>
        </w:rPr>
      </w:pPr>
    </w:p>
    <w:p w:rsidR="00250973" w:rsidRDefault="00250973">
      <w:bookmarkStart w:id="0" w:name="_GoBack"/>
      <w:bookmarkEnd w:id="0"/>
    </w:p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D"/>
    <w:multiLevelType w:val="hybridMultilevel"/>
    <w:tmpl w:val="1180D70A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5033"/>
    <w:multiLevelType w:val="multilevel"/>
    <w:tmpl w:val="F2D2E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D41756"/>
    <w:multiLevelType w:val="multilevel"/>
    <w:tmpl w:val="7DC685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14"/>
    <w:rsid w:val="00250973"/>
    <w:rsid w:val="00552C14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4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552C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552C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2C14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552C14"/>
    <w:rPr>
      <w:color w:val="0000FF"/>
      <w:u w:val="single"/>
    </w:rPr>
  </w:style>
  <w:style w:type="paragraph" w:customStyle="1" w:styleId="Style6">
    <w:name w:val="Style6"/>
    <w:basedOn w:val="a"/>
    <w:rsid w:val="00552C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52C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552C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52C14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52C14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552C14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552C14"/>
    <w:rPr>
      <w:rFonts w:ascii="Times New Roman" w:hAnsi="Times New Roman" w:cs="Times New Roman" w:hint="default"/>
      <w:sz w:val="18"/>
      <w:szCs w:val="18"/>
    </w:rPr>
  </w:style>
  <w:style w:type="paragraph" w:customStyle="1" w:styleId="FORMATTEXT">
    <w:name w:val=".FORMATTEXT"/>
    <w:uiPriority w:val="99"/>
    <w:rsid w:val="0055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552C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14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552C1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552C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2C14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552C14"/>
    <w:rPr>
      <w:color w:val="0000FF"/>
      <w:u w:val="single"/>
    </w:rPr>
  </w:style>
  <w:style w:type="paragraph" w:customStyle="1" w:styleId="Style6">
    <w:name w:val="Style6"/>
    <w:basedOn w:val="a"/>
    <w:rsid w:val="00552C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52C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552C1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52C14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52C14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552C14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552C14"/>
    <w:rPr>
      <w:rFonts w:ascii="Times New Roman" w:hAnsi="Times New Roman" w:cs="Times New Roman" w:hint="default"/>
      <w:sz w:val="18"/>
      <w:szCs w:val="18"/>
    </w:rPr>
  </w:style>
  <w:style w:type="paragraph" w:customStyle="1" w:styleId="FORMATTEXT">
    <w:name w:val=".FORMATTEXT"/>
    <w:uiPriority w:val="99"/>
    <w:rsid w:val="0055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552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/upload/file/instr_polz_gas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/company/eks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/&#1054;&#1082;&#1086;&#1084;&#1087;&#1072;&#1085;&#1080;&#1080;/" TargetMode="External"/><Relationship Id="rId11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oblg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2019-05-17T05:44:00Z</dcterms:created>
  <dcterms:modified xsi:type="dcterms:W3CDTF">2019-05-17T05:47:00Z</dcterms:modified>
</cp:coreProperties>
</file>